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BA546A" w:rsidRPr="00BA546A" w:rsidTr="001443E1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DBFC88" wp14:editId="7873A47A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BA546A" w:rsidRPr="00BA546A" w:rsidTr="001443E1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BA546A" w:rsidRPr="00486E44" w:rsidRDefault="00C422AA" w:rsidP="00486E44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«27» май  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BA546A"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№  </w:t>
            </w:r>
            <w:r w:rsidR="00C422A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129</w:t>
            </w: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BA546A" w:rsidRPr="00BA546A" w:rsidRDefault="00BA546A" w:rsidP="00C422A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r w:rsidR="00C4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C4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A546A" w:rsidRPr="00BA546A" w:rsidRDefault="00BA546A" w:rsidP="00BA546A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AA" w:rsidRPr="00C422AA" w:rsidRDefault="00C422AA" w:rsidP="00C4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</w:t>
      </w:r>
      <w:proofErr w:type="gramStart"/>
      <w:r w:rsidRPr="00C422AA">
        <w:rPr>
          <w:rFonts w:ascii="Times New Roman" w:eastAsia="Times New Roman" w:hAnsi="Times New Roman" w:cs="Times New Roman"/>
          <w:bCs/>
          <w:sz w:val="28"/>
          <w:szCs w:val="28"/>
        </w:rPr>
        <w:t>( собраний</w:t>
      </w:r>
      <w:proofErr w:type="gramEnd"/>
      <w:r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делегатов) в целях рассмотрения и обсуждения вопросов внесения инициативных проектов  в сельском поселений </w:t>
      </w:r>
      <w:r w:rsidR="00486E44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Чувалкиповский сельсовет </w:t>
      </w:r>
      <w:r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C422AA" w:rsidRPr="00C422AA" w:rsidRDefault="00C422AA" w:rsidP="00C422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22AA" w:rsidRPr="00C422AA" w:rsidRDefault="00C422AA" w:rsidP="00486E44">
      <w:pPr>
        <w:autoSpaceDE w:val="0"/>
        <w:autoSpaceDN w:val="0"/>
        <w:adjustRightInd w:val="0"/>
        <w:spacing w:after="20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C42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06.10.2003 № 131-ФЗ «Об общих принципах организации местного самоуправления в Российской Федерации» Уставом сельского поселения </w:t>
      </w:r>
      <w:r w:rsidR="0048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Чишминский район Республики Башкортостан</w:t>
      </w:r>
      <w:r w:rsidR="0048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422AA" w:rsidRPr="00C422AA" w:rsidRDefault="00C422AA" w:rsidP="00C422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2AA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="00486E44">
        <w:rPr>
          <w:rFonts w:ascii="Times New Roman" w:eastAsia="Times New Roman" w:hAnsi="Times New Roman" w:cs="Times New Roman"/>
          <w:sz w:val="28"/>
          <w:szCs w:val="28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8"/>
          <w:szCs w:val="28"/>
        </w:rPr>
        <w:t xml:space="preserve">  района Чишминский район Республика Башкортостан решил:</w:t>
      </w:r>
    </w:p>
    <w:p w:rsidR="00C422AA" w:rsidRPr="00C422AA" w:rsidRDefault="00C422AA" w:rsidP="00C422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2AA" w:rsidRPr="00C422AA" w:rsidRDefault="00486E44" w:rsidP="00C4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422AA" w:rsidRPr="00C42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22AA"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 порядке назначения и проведения собраний, конференций </w:t>
      </w:r>
      <w:proofErr w:type="gramStart"/>
      <w:r w:rsidR="00C422AA" w:rsidRPr="00C422AA">
        <w:rPr>
          <w:rFonts w:ascii="Times New Roman" w:eastAsia="Times New Roman" w:hAnsi="Times New Roman" w:cs="Times New Roman"/>
          <w:bCs/>
          <w:sz w:val="28"/>
          <w:szCs w:val="28"/>
        </w:rPr>
        <w:t>граждан( собраний</w:t>
      </w:r>
      <w:proofErr w:type="gramEnd"/>
      <w:r w:rsidR="00C422AA"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делегатов) в целях рассмотрения и обсуждения вопросов внесения инициативных проектов в сельском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Чувалкиповский сельсовет </w:t>
      </w:r>
      <w:r w:rsidR="00C422AA" w:rsidRPr="00C42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Чишминский район Республики Башкортостан согласно приложению к настоящему Решению.</w:t>
      </w:r>
    </w:p>
    <w:p w:rsidR="00C422AA" w:rsidRPr="00C422AA" w:rsidRDefault="00C422AA" w:rsidP="00486E4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обнародовать в здании администрации сельского поселения </w:t>
      </w:r>
      <w:r w:rsidR="0048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Чишминский район Республики Башкортостан по адресу: Республики Башкортостан, Чишминский район, с. Чишмы, ул. </w:t>
      </w:r>
      <w:r w:rsidR="00486E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86E4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сайте: </w:t>
      </w:r>
      <w:r w:rsidRPr="00C42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6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увалкип</w:t>
      </w:r>
      <w:r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p w:rsidR="00C422AA" w:rsidRPr="00C422AA" w:rsidRDefault="00486E44" w:rsidP="00486E44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22AA" w:rsidRPr="00C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22AA" w:rsidRPr="00C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Чувалкиповский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="00C422AA" w:rsidRPr="00C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 w:rsidR="00C422AA" w:rsidRPr="00C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Чишминский район Республики Башкортостан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Давлетова В.Д.)</w:t>
      </w:r>
    </w:p>
    <w:p w:rsidR="00C422AA" w:rsidRPr="00C422AA" w:rsidRDefault="00C422AA" w:rsidP="00C4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6E44" w:rsidRDefault="00486E44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E44" w:rsidRDefault="00486E44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2AA" w:rsidRPr="00C422AA" w:rsidRDefault="00C422AA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C422AA" w:rsidRPr="00C422AA" w:rsidRDefault="00C422AA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8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сельсовет </w:t>
      </w:r>
    </w:p>
    <w:p w:rsidR="00C422AA" w:rsidRPr="00C422AA" w:rsidRDefault="00C422AA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</w:t>
      </w:r>
    </w:p>
    <w:p w:rsidR="00486E44" w:rsidRDefault="00C422AA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</w:t>
      </w:r>
      <w:r w:rsidR="0048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proofErr w:type="spellStart"/>
      <w:r w:rsidR="0048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Т.Ф.Каримов</w:t>
      </w:r>
      <w:proofErr w:type="spellEnd"/>
    </w:p>
    <w:p w:rsidR="00C422AA" w:rsidRPr="00486E44" w:rsidRDefault="00C422AA" w:rsidP="00486E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48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C422AA" w:rsidRPr="00C422AA" w:rsidRDefault="00C422AA" w:rsidP="00C422AA">
      <w:pPr>
        <w:tabs>
          <w:tab w:val="left" w:pos="4680"/>
          <w:tab w:val="left" w:pos="522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422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Приложение </w:t>
      </w:r>
    </w:p>
    <w:p w:rsidR="00C422AA" w:rsidRPr="00C422AA" w:rsidRDefault="00C422AA" w:rsidP="00C422AA">
      <w:pPr>
        <w:tabs>
          <w:tab w:val="left" w:pos="4680"/>
          <w:tab w:val="left" w:pos="5220"/>
        </w:tabs>
        <w:spacing w:after="20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422AA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  <w:proofErr w:type="gramStart"/>
      <w:r w:rsidRPr="00C422AA">
        <w:rPr>
          <w:rFonts w:ascii="Times New Roman" w:eastAsia="Times New Roman" w:hAnsi="Times New Roman" w:cs="Times New Roman"/>
          <w:lang w:eastAsia="ru-RU"/>
        </w:rPr>
        <w:t>Чишминский  сельсовет</w:t>
      </w:r>
      <w:proofErr w:type="gramEnd"/>
      <w:r w:rsidRPr="00C422AA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Чишминский район Республики Башкортостан                                                         </w:t>
      </w:r>
      <w:r w:rsidR="00486E44">
        <w:rPr>
          <w:rFonts w:ascii="Times New Roman" w:eastAsia="Times New Roman" w:hAnsi="Times New Roman" w:cs="Times New Roman"/>
          <w:lang w:eastAsia="ru-RU"/>
        </w:rPr>
        <w:t xml:space="preserve">             от 27.05.2022 № 129</w:t>
      </w:r>
      <w:r w:rsidRPr="00C422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 порядке назначения и проведения собраний, конференций граждан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Чишминский район Республики Башкортостан 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22AA" w:rsidRPr="00C422AA" w:rsidRDefault="00C422AA" w:rsidP="00C422AA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Чишминский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Чишминский район Республики Башкортостан </w:t>
      </w:r>
      <w:r w:rsidRPr="00C422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В целях настоящего Положения: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сельсовет </w:t>
      </w:r>
      <w:r w:rsidR="00486E44" w:rsidRPr="00C422A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Башкортостан;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</w:t>
      </w:r>
      <w:r w:rsidRPr="00C422A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Башкортостан, достигшие шестнадцатилетнего возраста.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Граждане Российской Федерации, не проживающие на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lastRenderedPageBreak/>
        <w:t>собрания с правом совещательного голоса.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 и уставом соответствующего территориального общественного самоуправления.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Общие принципы проведения собраний, конференций</w:t>
      </w:r>
    </w:p>
    <w:p w:rsidR="00C422AA" w:rsidRPr="00C422AA" w:rsidRDefault="00C422AA" w:rsidP="00C422AA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Граждане участвуют в собраниях, конференциях лично.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Участие в собраниях, конференциях является свободным и добровольным.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Каждый гражданин, участвующий в собрании, конференции, имеет один голос.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C422AA" w:rsidRPr="00C422AA" w:rsidRDefault="00C422AA" w:rsidP="00C422AA">
      <w:pPr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Инициатива проведения и порядок назначения собраний, конференций</w:t>
      </w:r>
    </w:p>
    <w:p w:rsidR="00C422AA" w:rsidRPr="00C422AA" w:rsidRDefault="00C422AA" w:rsidP="00C422AA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3.1. Собрание, конференция проводятся по инициативе населения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Башкортостан. </w:t>
      </w:r>
    </w:p>
    <w:p w:rsidR="00C422AA" w:rsidRPr="00C422AA" w:rsidRDefault="00C422AA" w:rsidP="00C422AA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lastRenderedPageBreak/>
        <w:t>Инициатором проведения собраний, конференций от имени населения может выступать инициативная группа.</w:t>
      </w:r>
    </w:p>
    <w:p w:rsidR="00C422AA" w:rsidRPr="00C422AA" w:rsidRDefault="00C422AA" w:rsidP="00C422AA">
      <w:pPr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инициативный проект (проекты), который (которые) предлагается обсудить;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территория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время, дату и место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количество граждан, имеющих право на участие в собрании,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C422AA" w:rsidRPr="00C422AA" w:rsidRDefault="00C422AA" w:rsidP="00C422AA">
      <w:pPr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</w:t>
      </w:r>
      <w:r w:rsidRPr="00C422A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422AA" w:rsidRPr="00C422AA" w:rsidRDefault="00C422AA" w:rsidP="00C422AA">
      <w:pPr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</w:t>
      </w:r>
      <w:r w:rsidRPr="00C422A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>в соответствии с его регламентом.</w:t>
      </w:r>
    </w:p>
    <w:p w:rsidR="00C422AA" w:rsidRPr="00C422AA" w:rsidRDefault="00C422AA" w:rsidP="00C422AA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3.5. Совет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Башкортостан.</w:t>
      </w:r>
    </w:p>
    <w:p w:rsidR="00C422AA" w:rsidRPr="00C422AA" w:rsidRDefault="00C422AA" w:rsidP="00C422AA">
      <w:pPr>
        <w:widowControl w:val="0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Подготовку и проведение собраний, конференций осуществляет инициативная группа.</w:t>
      </w:r>
    </w:p>
    <w:p w:rsidR="00C422AA" w:rsidRPr="00C422AA" w:rsidRDefault="00C422AA" w:rsidP="00C422AA">
      <w:pPr>
        <w:widowControl w:val="0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В решении Совета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 о назначении проведения собрания, конференции указываются: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инициатор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дата, место и время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повестка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территория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Башкортостан, на которой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проводится собрание, конференция;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лица, ответственные за подготовку и проведение собраний, конференций.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3.8. Решение о назначении собраний, конференций подлежит официальному опубликованию (обнародованию).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4. Оповещение граждан о собраниях, конференциях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 собрании - не менее чем за 7 дней до его проведения;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 конференции - не менее чем за 14 дней до ее проведения.</w:t>
      </w:r>
    </w:p>
    <w:p w:rsidR="00C422AA" w:rsidRPr="00C422AA" w:rsidRDefault="00C422AA" w:rsidP="00C422AA">
      <w:pPr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5. Порядок проведения собрания</w:t>
      </w:r>
    </w:p>
    <w:p w:rsidR="00C422AA" w:rsidRPr="00C422AA" w:rsidRDefault="00C422AA" w:rsidP="00C422AA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Собрание открывается ответственным за его проведение лицом, либо одним из членов инициативной группы.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C422AA" w:rsidRPr="00C422AA" w:rsidRDefault="00C422AA" w:rsidP="00C422AA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 и заинтересованных лиц.</w:t>
      </w:r>
    </w:p>
    <w:p w:rsidR="00C422AA" w:rsidRPr="00C422AA" w:rsidRDefault="00C422AA" w:rsidP="00C422AA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6. Основания проведения конференции, норма представительства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При вынесении на рассмотрение инициативного проекта (проектов), непосредственно затрагивающего(-их) интересы более 350 граждан</w:t>
      </w:r>
      <w:r w:rsidRPr="00C422A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C422AA" w:rsidRPr="00C422AA" w:rsidRDefault="00C422AA" w:rsidP="00C422AA">
      <w:pPr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C422AA">
        <w:rPr>
          <w:rFonts w:ascii="Times New Roman" w:eastAsia="Times New Roman" w:hAnsi="Times New Roman" w:cs="Times New Roman"/>
          <w:b/>
          <w:sz w:val="26"/>
          <w:szCs w:val="26"/>
        </w:rPr>
        <w:t>от 100 граждан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>, имеющих право на участие в собрании.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7. Порядок проведения выборов делегатов на конференцию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C422AA" w:rsidRPr="00C422AA" w:rsidRDefault="00C422AA" w:rsidP="00C422AA">
      <w:pPr>
        <w:widowControl w:val="0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Выдвижение и выборы делегатов проходят в форме сбора подписей граждан под подписными листами.</w:t>
      </w:r>
    </w:p>
    <w:p w:rsidR="00C422AA" w:rsidRPr="00C422AA" w:rsidRDefault="00C422AA" w:rsidP="00C422AA">
      <w:pPr>
        <w:widowControl w:val="0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C422AA" w:rsidRPr="00C422AA" w:rsidRDefault="00C422AA" w:rsidP="00C422AA">
      <w:pPr>
        <w:widowControl w:val="0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C422AA" w:rsidRPr="00C422AA" w:rsidRDefault="00C422AA" w:rsidP="00C422AA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8. Порядок проведения конференции</w:t>
      </w:r>
    </w:p>
    <w:p w:rsidR="00C422AA" w:rsidRPr="00C422AA" w:rsidRDefault="00C422AA" w:rsidP="00C422AA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Конференция проводится в соответствии с регламентом работы, утверждаемым ее делегатами.</w:t>
      </w:r>
    </w:p>
    <w:p w:rsidR="00C422AA" w:rsidRPr="00C422AA" w:rsidRDefault="00C422AA" w:rsidP="00C422AA">
      <w:pPr>
        <w:widowControl w:val="0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C422AA" w:rsidRPr="00C422AA" w:rsidRDefault="00C422AA" w:rsidP="00C422AA">
      <w:pPr>
        <w:widowControl w:val="0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Решения конференции принимаются большинством голосов от списочного состава делегатов.</w:t>
      </w:r>
    </w:p>
    <w:p w:rsidR="00C422AA" w:rsidRPr="00C422AA" w:rsidRDefault="00C422AA" w:rsidP="00C422AA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ab/>
        <w:t>до сведения                                                                                  органов местного самоуправления и заинтересованных лиц.</w:t>
      </w:r>
    </w:p>
    <w:p w:rsidR="00C422AA" w:rsidRPr="00C422AA" w:rsidRDefault="00C422AA" w:rsidP="00C422AA">
      <w:pPr>
        <w:widowControl w:val="0"/>
        <w:tabs>
          <w:tab w:val="left" w:pos="1418"/>
          <w:tab w:val="right" w:pos="935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самоуправления.</w:t>
      </w:r>
    </w:p>
    <w:p w:rsidR="00C422AA" w:rsidRPr="00C422AA" w:rsidRDefault="00C422AA" w:rsidP="00C422AA">
      <w:pPr>
        <w:widowControl w:val="0"/>
        <w:tabs>
          <w:tab w:val="left" w:pos="1418"/>
          <w:tab w:val="right" w:pos="935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220"/>
          <w:tab w:val="left" w:pos="6283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9. Полномочия собрания, конференции</w:t>
      </w:r>
    </w:p>
    <w:p w:rsidR="00C422AA" w:rsidRPr="00C422AA" w:rsidRDefault="00C422AA" w:rsidP="00C422AA">
      <w:pPr>
        <w:widowControl w:val="0"/>
        <w:tabs>
          <w:tab w:val="left" w:pos="1220"/>
          <w:tab w:val="left" w:pos="6283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1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 полномочиям собрания, конференции относятся: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:rsidR="00C422AA" w:rsidRPr="00C422AA" w:rsidRDefault="00486E44" w:rsidP="00486E4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9" w:right="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422AA" w:rsidRPr="00C422AA">
        <w:rPr>
          <w:rFonts w:ascii="Times New Roman" w:eastAsia="Times New Roman" w:hAnsi="Times New Roman" w:cs="Times New Roman"/>
          <w:sz w:val="26"/>
          <w:szCs w:val="26"/>
        </w:rPr>
        <w:t>внесение предложений и рекомендаций по обсуждаемым вопросам на собрании;</w:t>
      </w:r>
    </w:p>
    <w:p w:rsidR="00C422AA" w:rsidRPr="00C422AA" w:rsidRDefault="00486E44" w:rsidP="00486E4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9" w:right="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C422AA" w:rsidRPr="00C422AA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иных полномочий, предусмотренных действующим </w:t>
      </w:r>
      <w:r w:rsidR="00C422AA" w:rsidRPr="00C422AA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законодательством.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10. Итоги собраний, конференций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Ход и итоги собрания, конференции оформляются протоколом.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дата, время и место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инициатор проведения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состав президиума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состав счетной комиссии собрания,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адреса домов и номера подъездов, жители которых участвуют в собрании,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количество граждан, имеющих право на участие в собрании или делегатов, избранных на конференцию;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количество граждан, зарегистрированных в качестве участников собрания или делегатов конференции;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полная формулировка рассматриваемого инициативного проекта (проектов), выносимого(-ых) на голосование;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и принятое решение;</w:t>
      </w:r>
    </w:p>
    <w:p w:rsidR="00C422AA" w:rsidRPr="00C422AA" w:rsidRDefault="00C422AA" w:rsidP="00C422AA">
      <w:pPr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подпись председателя и секретаря собрания, конференции.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C422AA" w:rsidRPr="00C422AA" w:rsidRDefault="00C422AA" w:rsidP="00C422AA">
      <w:pPr>
        <w:widowControl w:val="0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C422AA" w:rsidRPr="00C422AA" w:rsidRDefault="00C422AA" w:rsidP="00C422AA">
      <w:pPr>
        <w:widowControl w:val="0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C422AA" w:rsidRPr="00C422AA" w:rsidRDefault="00C422AA" w:rsidP="00C422AA">
      <w:pPr>
        <w:widowControl w:val="0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Итоги собраний, конференций подлежат официальному опубликованию (обнародованию).</w:t>
      </w:r>
    </w:p>
    <w:p w:rsidR="00C422AA" w:rsidRPr="00C422AA" w:rsidRDefault="00C422AA" w:rsidP="00C422AA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>11. Финансирование проведения собраний, конференций</w:t>
      </w:r>
    </w:p>
    <w:p w:rsidR="00C422AA" w:rsidRPr="00C422AA" w:rsidRDefault="00C422AA" w:rsidP="00C422AA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numPr>
          <w:ilvl w:val="1"/>
          <w:numId w:val="12"/>
        </w:numPr>
        <w:tabs>
          <w:tab w:val="left" w:pos="1580"/>
        </w:tabs>
        <w:spacing w:after="0" w:line="240" w:lineRule="auto"/>
        <w:ind w:right="40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Чувалкиповский </w:t>
      </w:r>
      <w:proofErr w:type="gramStart"/>
      <w:r w:rsidR="00486E44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C422AA">
        <w:rPr>
          <w:rFonts w:ascii="Times New Roman" w:eastAsia="Times New Roman" w:hAnsi="Times New Roman" w:cs="Times New Roman"/>
          <w:sz w:val="26"/>
          <w:szCs w:val="26"/>
        </w:rPr>
        <w:t xml:space="preserve"> района Чишминский район Республики Башкортостан.</w:t>
      </w: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C422AA" w:rsidRPr="00C422AA" w:rsidRDefault="00C422AA" w:rsidP="00C422A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p w:rsidR="00BA546A" w:rsidRPr="00BA546A" w:rsidRDefault="00BA546A" w:rsidP="00B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B1" w:rsidRPr="00BA546A" w:rsidRDefault="00803EB1">
      <w:pPr>
        <w:rPr>
          <w:sz w:val="24"/>
          <w:szCs w:val="24"/>
        </w:rPr>
      </w:pPr>
    </w:p>
    <w:sectPr w:rsidR="00803EB1" w:rsidRPr="00B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5"/>
    <w:rsid w:val="00297BE6"/>
    <w:rsid w:val="00486E44"/>
    <w:rsid w:val="00796635"/>
    <w:rsid w:val="00803EB1"/>
    <w:rsid w:val="00BA546A"/>
    <w:rsid w:val="00C422AA"/>
    <w:rsid w:val="00C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9B19-3443-4CE0-90EB-B86D61E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2022-07-07T04:01:00Z</cp:lastPrinted>
  <dcterms:created xsi:type="dcterms:W3CDTF">2021-02-26T04:28:00Z</dcterms:created>
  <dcterms:modified xsi:type="dcterms:W3CDTF">2022-07-07T04:02:00Z</dcterms:modified>
</cp:coreProperties>
</file>